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4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4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28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27;mso-wrap-distance-left:9pt;mso-wrap-distance-top:0pt;mso-wrap-distance-right:9pt;mso-wrap-distance-bottom:0pt;margin-left:27.05pt;margin-top:143.8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26;mso-wrap-distance-left:9pt;mso-wrap-distance-top:0pt;mso-wrap-distance-right:9pt;mso-wrap-distance-bottom:0pt;margin-left:27.8pt;margin-top:2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7.3pt;height:17pt;z-index:-25;mso-wrap-distance-left:9pt;mso-wrap-distance-top:0pt;mso-wrap-distance-right:9pt;mso-wrap-distance-bottom:0pt;margin-left:30.05pt;margin-top:641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8" style="position:absolute;width:536.8pt;height:17.25pt;z-index:-38;mso-wrap-distance-left:9pt;mso-wrap-distance-top:0pt;mso-wrap-distance-right:9pt;mso-wrap-distance-bottom:0pt;margin-left:19.4pt;margin-top:7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9" style="position:absolute;z-index:-3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10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1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2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5pt" to="177.2pt,787.65pt"/>
        </w:pict>
      </w:r>
      <w:r>
        <w:rPr>
          <w:rFonts w:ascii="Arial" w:hAnsi="Arial" w:cs="Arial"/>
        </w:rPr>
        <w:pict>
          <v:line id="Line 13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69.95pt" to="556.9pt,769.95pt"/>
        </w:pict>
      </w:r>
      <w:r>
        <w:rPr>
          <w:rFonts w:ascii="Arial" w:hAnsi="Arial" w:cs="Arial"/>
        </w:rPr>
        <w:pict>
          <v:line id="Line 14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5pt" to="291.2pt,787.6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5" o:spid="_x0000_s1040" type="#_x0000_t75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Vamat® Rinser S, P 949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5" w:h="331" w:hRule="exact" w:vAnchor="page" w:hAnchor="page" w:x="755" w:y="287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6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1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Exotherme Reaktion mit: Alkalien (Laugen) 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Alkalien (Laugen) 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1596" w:hRule="exact" w:vAnchor="page" w:hAnchor="page" w:x="1967" w:y="367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deutlich wassergefährdend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23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6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filled="f" stroked="f"/>
        </w:pic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Spülmittel für Geschirrspülautomaten – gewerbliche oder industrielle Verwendung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für gewerbliche Anwender.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Geeigneter Augenschutz: Augenschutz: nicht erforderlich.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>
      <w:pPr>
        <w:framePr w:w="7860" w:h="6612" w:hRule="exact" w:vAnchor="page" w:hAnchor="page" w:x="1967" w:y="61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5749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>
      <w:pPr>
        <w:framePr w:w="7875" w:h="2052" w:hRule="exact" w:vAnchor="page" w:hAnchor="page" w:x="1967" w:y="1321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5" w:y="1281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8" style="position:absolute;width:45.4pt;height:45.3pt;z-index:-42;mso-wrap-distance-left:9pt;mso-wrap-distance-top:0pt;mso-wrap-distance-right:9pt;mso-wrap-distance-bottom:0pt;margin-left:40.75pt;margin-top:307.4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13217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13217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2672" w:h="238" w:hRule="exact" w:vAnchor="page" w:hAnchor="page" w:x="816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16.09.2025</w:t>
      </w:r>
    </w:p>
    <w:p>
      <w:pPr>
        <w:framePr w:w="969" w:h="251" w:hRule="exact" w:vAnchor="page" w:hAnchor="page" w:x="10442" w:y="15808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>
      <w:pPr>
        <w:framePr w:w="2199" w:h="236" w:hRule="exact" w:vAnchor="page" w:hAnchor="page" w:x="3644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BA_P949</w:t>
      </w:r>
    </w:p>
    <w:p>
      <w:pPr>
        <w:framePr w:w="1136" w:h="227" w:hRule="exact" w:vAnchor="page" w:hAnchor="page" w:x="5362" w:y="15810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34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9" style="position:absolute;width:17pt;height:769.4pt;z-index:-43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17pt;height:769.4pt;z-index:-41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44.15pt;height:17pt;z-index:-40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24.05pt;height:16.75pt;z-index:-39;mso-wrap-distance-left:9pt;mso-wrap-distance-top:0pt;mso-wrap-distance-right:9pt;mso-wrap-distance-bottom:0pt;margin-left:32.15pt;margin-top:229.3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3" style="position:absolute;width:537.3pt;height:17pt;z-index:-30;mso-wrap-distance-left:9pt;mso-wrap-distance-top:0pt;mso-wrap-distance-right:9pt;mso-wrap-distance-bottom:0pt;margin-left:28.55pt;margin-top:343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4" style="position:absolute;width:536.8pt;height:17.25pt;z-index:-38;mso-wrap-distance-left:9pt;mso-wrap-distance-top:0pt;mso-wrap-distance-right:9pt;mso-wrap-distance-bottom:0pt;margin-left:19.4pt;margin-top:787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5" style="position:absolute;z-index:-3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6" style="position:absolute;z-index:-3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7" style="position:absolute;z-index:-3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8" style="position:absolute;z-index:-34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5pt" to="177.2pt,787.65pt"/>
        </w:pict>
      </w:r>
      <w:r>
        <w:rPr>
          <w:rFonts w:ascii="Arial" w:hAnsi="Arial" w:cs="Arial"/>
        </w:rPr>
        <w:pict>
          <v:line id="Line 39" style="position:absolute;z-index:-33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69.95pt" to="556.9pt,769.95pt"/>
        </w:pict>
      </w:r>
      <w:r>
        <w:rPr>
          <w:rFonts w:ascii="Arial" w:hAnsi="Arial" w:cs="Arial"/>
        </w:rPr>
        <w:pict>
          <v:line id="Line 40" style="position:absolute;z-index:-32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5pt" to="291.2pt,787.65pt"/>
        </w:pict>
      </w:r>
      <w:r>
        <w:rPr>
          <w:rFonts w:ascii="Arial" w:hAnsi="Arial" w:cs="Arial"/>
        </w:rPr>
        <w:pict>
          <v:shape xmlns:o="urn:schemas-microsoft-com:office:office" id="Picture 41" o:spid="_x0000_s1066" type="#_x0000_t75" style="position:absolute;width:104.65pt;height:41.15pt;z-index:-31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2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2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2508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>
      <w:pPr>
        <w:framePr w:w="7875" w:h="1824" w:hRule="exact" w:vAnchor="page" w:hAnchor="page" w:x="1967" w:y="49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2" o:spid="_x0000_s1067" type="#_x0000_t75" style="position:absolute;width:48.3pt;height:48.3pt;z-index:-29;mso-wrap-distance-left:9pt;mso-wrap-distance-top:0pt;mso-wrap-distance-right:9pt;mso-wrap-distance-bottom:0pt;margin-left:40.75pt;margin-top:249.2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>
      <w:pPr>
        <w:framePr w:w="7875" w:h="1824" w:hRule="exact" w:vAnchor="page" w:hAnchor="page" w:x="1967" w:y="49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1824" w:hRule="exact" w:vAnchor="page" w:hAnchor="page" w:x="1967" w:y="49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Kontaminierte Kleidung ausziehen und vor erneutem Tragen waschen. </w:t>
      </w:r>
    </w:p>
    <w:p>
      <w:pPr>
        <w:framePr w:w="7875" w:h="1824" w:hRule="exact" w:vAnchor="page" w:hAnchor="page" w:x="1967" w:y="49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1824" w:hRule="exact" w:vAnchor="page" w:hAnchor="page" w:x="1967" w:y="49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>
      <w:pPr>
        <w:framePr w:w="7875" w:h="1824" w:hRule="exact" w:vAnchor="page" w:hAnchor="page" w:x="1967" w:y="49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>
      <w:pPr>
        <w:framePr w:w="10195" w:h="331" w:hRule="exact" w:vAnchor="page" w:hAnchor="page" w:x="755" w:y="458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48.3pt;height:48.3pt;z-index:-29;mso-wrap-distance-left:9pt;mso-wrap-distance-top:0pt;mso-wrap-distance-right:9pt;mso-wrap-distance-bottom:0pt;margin-left:40.75pt;margin-top:249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6" w:hRule="exact" w:vAnchor="page" w:hAnchor="page" w:x="816" w:y="6012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6" w:hRule="exact" w:vAnchor="page" w:hAnchor="page" w:x="816" w:y="6012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10196" w:h="1140" w:hRule="exact" w:vAnchor="page" w:hAnchor="page" w:x="816" w:y="72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1140" w:hRule="exact" w:vAnchor="page" w:hAnchor="page" w:x="816" w:y="72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1140" w:hRule="exact" w:vAnchor="page" w:hAnchor="page" w:x="816" w:y="72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</w:p>
    <w:p>
      <w:pPr>
        <w:framePr w:w="10196" w:h="1140" w:hRule="exact" w:vAnchor="page" w:hAnchor="page" w:x="816" w:y="72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68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16.09.2025</w:t>
      </w:r>
    </w:p>
    <w:p>
      <w:pPr>
        <w:framePr w:w="969" w:h="251" w:hRule="exact" w:vAnchor="page" w:hAnchor="page" w:x="10442" w:y="15808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>
      <w:pPr>
        <w:framePr w:w="2199" w:h="236" w:hRule="exact" w:vAnchor="page" w:hAnchor="page" w:x="3644" w:y="154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BA_P949</w:t>
      </w:r>
    </w:p>
    <w:p>
      <w:pPr>
        <w:framePr w:w="1136" w:h="227" w:hRule="exact" w:vAnchor="page" w:hAnchor="page" w:x="5362" w:y="15810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0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1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34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emf" /><Relationship Id="Relimage3" Type="http://schemas.openxmlformats.org/officeDocument/2006/relationships/image" Target="/media/image3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API/23.2.11.0</Application>
  <AppVersion>23.2</AppVersion>
  <Company>BUZIL-WERK Wagner GmbH &amp; Co. KG</Company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BUZIL-WERK Wagner GmbH &amp; Co. KG</dc:creator>
  <dcterms:created xsi:type="dcterms:W3CDTF">2025-09-16T17:01:13Z</dcterms:created>
  <dcterms:modified xsi:type="dcterms:W3CDTF">2025-09-16T17:01:13Z</dcterms:modified>
  <cp:revision>2</cp:revision>
</cp:coreProperties>
</file>